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44453">
      <w:pPr>
        <w:spacing w:line="600" w:lineRule="exact"/>
        <w:jc w:val="left"/>
        <w:rPr>
          <w:rFonts w:hint="eastAsia" w:ascii="黑体" w:hAnsi="黑体" w:eastAsia="黑体" w:cs="Times New Roman"/>
          <w:sz w:val="32"/>
          <w:szCs w:val="32"/>
          <w:lang w:val="en-US" w:eastAsia="zh-CN"/>
        </w:rPr>
      </w:pPr>
      <w:r>
        <w:rPr>
          <w:rFonts w:hint="eastAsia" w:ascii="黑体" w:hAnsi="黑体" w:eastAsia="黑体" w:cs="Times New Roman"/>
          <w:sz w:val="32"/>
          <w:szCs w:val="32"/>
          <w:lang w:eastAsia="zh-CN"/>
        </w:rPr>
        <w:t>附件</w:t>
      </w:r>
      <w:r>
        <w:rPr>
          <w:rFonts w:hint="eastAsia" w:ascii="黑体" w:hAnsi="黑体" w:eastAsia="黑体" w:cs="Times New Roman"/>
          <w:sz w:val="32"/>
          <w:szCs w:val="32"/>
          <w:lang w:val="en-US" w:eastAsia="zh-CN"/>
        </w:rPr>
        <w:t>1</w:t>
      </w:r>
    </w:p>
    <w:p w14:paraId="2D3B8FE8">
      <w:pPr>
        <w:autoSpaceDE w:val="0"/>
        <w:autoSpaceDN w:val="0"/>
        <w:spacing w:after="93" w:afterLines="30" w:line="240" w:lineRule="auto"/>
        <w:jc w:val="right"/>
        <w:rPr>
          <w:sz w:val="32"/>
          <w:szCs w:val="32"/>
          <w:highlight w:val="none"/>
        </w:rPr>
      </w:pPr>
      <w:bookmarkStart w:id="0" w:name="fawenjiguandaizi"/>
      <w:bookmarkEnd w:id="0"/>
    </w:p>
    <w:p w14:paraId="304759D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highlight w:val="none"/>
        </w:rPr>
      </w:pPr>
      <w:bookmarkStart w:id="1" w:name="zhengwen"/>
      <w:bookmarkEnd w:id="1"/>
      <w:bookmarkStart w:id="2" w:name="_Hlk209520569"/>
      <w:bookmarkStart w:id="3" w:name="OLE_LINK1"/>
      <w:r>
        <w:rPr>
          <w:rFonts w:hint="eastAsia" w:ascii="方正小标宋_GBK" w:hAnsi="方正小标宋_GBK" w:eastAsia="方正小标宋_GBK" w:cs="方正小标宋_GBK"/>
          <w:sz w:val="44"/>
          <w:szCs w:val="44"/>
          <w:highlight w:val="none"/>
        </w:rPr>
        <w:t>关于促进民营建筑业企业持续健康发展</w:t>
      </w:r>
    </w:p>
    <w:p w14:paraId="31FC965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的若干措施</w:t>
      </w:r>
      <w:bookmarkEnd w:id="2"/>
      <w:bookmarkEnd w:id="3"/>
    </w:p>
    <w:p w14:paraId="578ED1F9">
      <w:pPr>
        <w:jc w:val="center"/>
        <w:rPr>
          <w:rFonts w:ascii="楷体_GB2312" w:eastAsia="楷体_GB2312"/>
          <w:sz w:val="32"/>
          <w:szCs w:val="32"/>
          <w:highlight w:val="none"/>
        </w:rPr>
      </w:pPr>
      <w:r>
        <w:rPr>
          <w:rFonts w:hint="eastAsia" w:ascii="楷体_GB2312" w:eastAsia="楷体_GB2312"/>
          <w:sz w:val="32"/>
          <w:szCs w:val="32"/>
          <w:highlight w:val="none"/>
        </w:rPr>
        <w:t>（</w:t>
      </w:r>
      <w:r>
        <w:rPr>
          <w:rFonts w:hint="eastAsia" w:ascii="楷体_GB2312" w:eastAsia="楷体_GB2312"/>
          <w:sz w:val="32"/>
          <w:szCs w:val="32"/>
          <w:highlight w:val="none"/>
          <w:lang w:eastAsia="zh-CN"/>
        </w:rPr>
        <w:t>征求意见</w:t>
      </w:r>
      <w:r>
        <w:rPr>
          <w:rFonts w:hint="eastAsia" w:ascii="楷体_GB2312" w:eastAsia="楷体_GB2312"/>
          <w:sz w:val="32"/>
          <w:szCs w:val="32"/>
          <w:highlight w:val="none"/>
        </w:rPr>
        <w:t>稿）</w:t>
      </w:r>
    </w:p>
    <w:p w14:paraId="2990597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eastAsia="仿宋_GB2312"/>
          <w:sz w:val="32"/>
          <w:szCs w:val="32"/>
          <w:highlight w:val="none"/>
        </w:rPr>
      </w:pPr>
    </w:p>
    <w:p w14:paraId="601A58C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为深入贯彻省委民营经济高质量发展推进会精神，促进民营建筑业企业持续健康发展，助力支点建设大局，提出如下措施。</w:t>
      </w:r>
    </w:p>
    <w:p w14:paraId="679A569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黑体" w:hAnsi="黑体" w:eastAsia="黑体"/>
          <w:color w:val="auto"/>
          <w:sz w:val="32"/>
          <w:szCs w:val="32"/>
          <w:highlight w:val="none"/>
        </w:rPr>
        <w:t>一、保障公平参与市场竞争。</w:t>
      </w:r>
      <w:r>
        <w:rPr>
          <w:rFonts w:hint="eastAsia" w:ascii="仿宋_GB2312" w:eastAsia="仿宋_GB2312"/>
          <w:color w:val="auto"/>
          <w:sz w:val="32"/>
          <w:szCs w:val="32"/>
          <w:highlight w:val="none"/>
        </w:rPr>
        <w:t>在工程项目招标投标活动中严格执行公平竞争审查制度，不得设置歧视性条款或排斥、限制民营建筑业企业参与竞争。规范投标人资格要求，不得设置高于项目所需资质等级的条件要求，不得将企业净资产、资产负债率等与施工能力无关的指标作为投标资格准入条件。</w:t>
      </w:r>
      <w:r>
        <w:rPr>
          <w:rFonts w:hint="eastAsia" w:ascii="仿宋_GB2312" w:eastAsia="仿宋_GB2312"/>
          <w:color w:val="auto"/>
          <w:sz w:val="32"/>
          <w:szCs w:val="32"/>
          <w:highlight w:val="none"/>
          <w:lang w:val="en-US" w:eastAsia="zh-CN"/>
        </w:rPr>
        <w:t>招标（资格预审）文件中设置类似业绩准入条件的，相关技术指标（合同金额、建筑面积、跨度、结构形式、施工工艺等）要求不应超过拟建项目的60%</w:t>
      </w:r>
      <w:r>
        <w:rPr>
          <w:rFonts w:hint="eastAsia" w:ascii="仿宋_GB2312"/>
          <w:color w:val="auto"/>
          <w:sz w:val="32"/>
          <w:szCs w:val="32"/>
          <w:highlight w:val="none"/>
          <w:lang w:val="en-US" w:eastAsia="zh-CN"/>
        </w:rPr>
        <w:t>。</w:t>
      </w:r>
      <w:r>
        <w:rPr>
          <w:rFonts w:hint="eastAsia" w:ascii="仿宋_GB2312" w:eastAsia="仿宋_GB2312"/>
          <w:color w:val="auto"/>
          <w:sz w:val="32"/>
          <w:szCs w:val="32"/>
          <w:highlight w:val="none"/>
        </w:rPr>
        <w:t>依法必须招标项目（涉密项目除外），在招标活动开始30日前应在拟进行招标的交易平台发布招标计划，明确项目名称、招标人名称、项目批准文件、建设内容、建设地点、投资估算、资金来源等项目基本信息，以及标段划分、招标范围、合同估算价、预估工期、招标方式、招标组织形式、拟招标的时间等招标有关信息，推动建筑市场各类主体充分竞争</w:t>
      </w:r>
      <w:r>
        <w:rPr>
          <w:rFonts w:hint="eastAsia" w:ascii="仿宋_GB2312" w:eastAsia="仿宋_GB2312"/>
          <w:color w:val="auto"/>
          <w:sz w:val="32"/>
          <w:szCs w:val="32"/>
          <w:highlight w:val="none"/>
          <w:lang w:eastAsia="zh-CN"/>
        </w:rPr>
        <w:t>。</w:t>
      </w:r>
      <w:r>
        <w:rPr>
          <w:rFonts w:hint="eastAsia" w:ascii="楷体_GB2312" w:hAnsi="楷体_GB2312" w:eastAsia="楷体_GB2312" w:cs="楷体_GB2312"/>
          <w:color w:val="auto"/>
          <w:sz w:val="32"/>
          <w:szCs w:val="32"/>
          <w:highlight w:val="none"/>
        </w:rPr>
        <w:t>（责任单位：省住建厅、省交通运输厅、省水利厅、省发改委、省政府国资委）</w:t>
      </w:r>
    </w:p>
    <w:p w14:paraId="30A9BDA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eastAsia="仿宋_GB2312"/>
          <w:color w:val="auto"/>
          <w:sz w:val="32"/>
          <w:szCs w:val="32"/>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、加强工程款项支付管理。</w:t>
      </w:r>
      <w:r>
        <w:rPr>
          <w:rFonts w:hint="eastAsia" w:ascii="仿宋_GB2312" w:eastAsia="仿宋_GB2312"/>
          <w:color w:val="auto"/>
          <w:sz w:val="32"/>
          <w:szCs w:val="32"/>
          <w:highlight w:val="none"/>
        </w:rPr>
        <w:t>全面落实合同网签、过程结算、支付预警等机制。建设单位应当按照合同约定按时足额支付工程款，不得强制民营建筑业企业接受商业汇票、应收账款电子凭证等非现金支付方式。以房、物抵偿工程款的，应当委托专业机构评估作价，严禁擅自以虚高价值抵偿。全面推行工程款支付担保制度，国有资金投资项目未提供工程款支付担保的，视为建设资金未落实，不予颁发施工许可证。</w:t>
      </w:r>
      <w:r>
        <w:rPr>
          <w:rFonts w:hint="eastAsia" w:ascii="楷体_GB2312" w:hAnsi="楷体_GB2312" w:eastAsia="楷体_GB2312" w:cs="楷体_GB2312"/>
          <w:color w:val="auto"/>
          <w:sz w:val="32"/>
          <w:szCs w:val="32"/>
          <w:highlight w:val="none"/>
        </w:rPr>
        <w:t>（责任单位：省财政厅、省住建厅、省交通运输厅、省水利厅、省政府国资委）</w:t>
      </w:r>
    </w:p>
    <w:p w14:paraId="5FCC008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eastAsia="仿宋_GB2312"/>
          <w:color w:val="auto"/>
          <w:sz w:val="32"/>
          <w:szCs w:val="32"/>
          <w:highlight w:val="none"/>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、加快工程价款结算进度。</w:t>
      </w:r>
      <w:r>
        <w:rPr>
          <w:rFonts w:hint="eastAsia" w:ascii="仿宋_GB2312" w:eastAsia="仿宋_GB2312"/>
          <w:color w:val="auto"/>
          <w:sz w:val="32"/>
          <w:szCs w:val="32"/>
          <w:highlight w:val="none"/>
        </w:rPr>
        <w:t>推行工程无争议价款先行结算支付制度，不得将未完成结算审计作为工程延期结算、拖欠工程款理由，不得强制或变相强制以审计机关审计结果作为工程价款结算依据，法律、行政法规另有规定的除外。加强对政府机关、事业单位、国有企业建设工程价款结算的管理指导，发现违反规定拖延价款结算和支付等行为的，由行业主管部门将认定的违约失信信息推送至湖北省社会信用信息服务平台，计入相关主体名下，形成失信记录。</w:t>
      </w:r>
      <w:r>
        <w:rPr>
          <w:rFonts w:hint="eastAsia" w:ascii="楷体_GB2312" w:hAnsi="楷体_GB2312" w:eastAsia="楷体_GB2312" w:cs="楷体_GB2312"/>
          <w:color w:val="auto"/>
          <w:sz w:val="32"/>
          <w:szCs w:val="32"/>
          <w:highlight w:val="none"/>
        </w:rPr>
        <w:t>（责任单位：省发改委、省财政厅、省住建厅、省交通运输厅、省水利厅、省审计厅、省政府国资委）</w:t>
      </w:r>
    </w:p>
    <w:p w14:paraId="589B93B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eastAsia="仿宋_GB2312"/>
          <w:color w:val="auto"/>
          <w:sz w:val="32"/>
          <w:szCs w:val="32"/>
          <w:highlight w:val="none"/>
        </w:rPr>
      </w:pPr>
      <w:r>
        <w:rPr>
          <w:rFonts w:hint="eastAsia" w:ascii="黑体" w:hAnsi="黑体" w:eastAsia="黑体"/>
          <w:color w:val="auto"/>
          <w:sz w:val="32"/>
          <w:szCs w:val="32"/>
          <w:highlight w:val="none"/>
          <w:lang w:eastAsia="zh-CN"/>
        </w:rPr>
        <w:t>四</w:t>
      </w:r>
      <w:r>
        <w:rPr>
          <w:rFonts w:hint="eastAsia" w:ascii="黑体" w:hAnsi="黑体" w:eastAsia="黑体"/>
          <w:color w:val="auto"/>
          <w:sz w:val="32"/>
          <w:szCs w:val="32"/>
          <w:highlight w:val="none"/>
        </w:rPr>
        <w:t>、加大拖欠账款清理力度。</w:t>
      </w:r>
      <w:r>
        <w:rPr>
          <w:rFonts w:hint="eastAsia" w:ascii="仿宋_GB2312" w:eastAsia="仿宋_GB2312"/>
          <w:color w:val="auto"/>
          <w:sz w:val="32"/>
          <w:szCs w:val="32"/>
          <w:highlight w:val="none"/>
        </w:rPr>
        <w:t>对清理拖欠民营建筑业企业账款情况加强审计监督，将工程款拨付情况作为审计重点内容，行业主管部门和财政部门将相关情况作为监督检查重点内容，对未按有关规定和合同约定拨付工程款的，责令限期整改并通报有关情况。将拖欠民营企业账款情况纳入信用评价，对拖欠主体负责人进行约谈、通报。</w:t>
      </w:r>
      <w:r>
        <w:rPr>
          <w:rFonts w:hint="eastAsia" w:ascii="楷体_GB2312" w:hAnsi="楷体_GB2312" w:eastAsia="楷体_GB2312" w:cs="楷体_GB2312"/>
          <w:color w:val="auto"/>
          <w:sz w:val="32"/>
          <w:szCs w:val="32"/>
          <w:highlight w:val="none"/>
        </w:rPr>
        <w:t>（责任单位：省经信厅、省住建厅、省交通运输厅、省水利厅、省发改委、省财政厅、省审计厅、省政府国资委）</w:t>
      </w:r>
    </w:p>
    <w:p w14:paraId="09D0170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eastAsia="仿宋_GB2312"/>
          <w:color w:val="auto"/>
          <w:sz w:val="32"/>
          <w:szCs w:val="32"/>
          <w:highlight w:val="none"/>
        </w:rPr>
      </w:pPr>
      <w:r>
        <w:rPr>
          <w:rFonts w:hint="eastAsia" w:ascii="黑体" w:hAnsi="黑体" w:eastAsia="黑体"/>
          <w:color w:val="auto"/>
          <w:sz w:val="32"/>
          <w:szCs w:val="32"/>
          <w:highlight w:val="none"/>
          <w:lang w:eastAsia="zh-CN"/>
        </w:rPr>
        <w:t>五</w:t>
      </w:r>
      <w:r>
        <w:rPr>
          <w:rFonts w:hint="eastAsia" w:ascii="黑体" w:hAnsi="黑体" w:eastAsia="黑体"/>
          <w:color w:val="auto"/>
          <w:sz w:val="32"/>
          <w:szCs w:val="32"/>
          <w:highlight w:val="none"/>
        </w:rPr>
        <w:t>、优化企业融资环境。</w:t>
      </w:r>
      <w:r>
        <w:rPr>
          <w:rFonts w:hint="eastAsia" w:ascii="仿宋_GB2312" w:eastAsia="仿宋_GB2312"/>
          <w:color w:val="auto"/>
          <w:sz w:val="32"/>
          <w:szCs w:val="32"/>
          <w:highlight w:val="none"/>
        </w:rPr>
        <w:t>指导银行</w:t>
      </w:r>
      <w:r>
        <w:rPr>
          <w:rFonts w:hint="eastAsia" w:ascii="仿宋_GB2312"/>
          <w:color w:val="auto"/>
          <w:sz w:val="32"/>
          <w:szCs w:val="32"/>
          <w:highlight w:val="none"/>
          <w:lang w:val="en-US" w:eastAsia="zh-CN"/>
        </w:rPr>
        <w:t>业</w:t>
      </w:r>
      <w:r>
        <w:rPr>
          <w:rFonts w:hint="eastAsia" w:ascii="仿宋_GB2312" w:eastAsia="仿宋_GB2312"/>
          <w:color w:val="auto"/>
          <w:sz w:val="32"/>
          <w:szCs w:val="32"/>
          <w:highlight w:val="none"/>
        </w:rPr>
        <w:t>金融机构规范贷款审批各项工作，不得对民营建筑业企业设置歧视性要求，同等条件下民营企业与国有企业贷款利率和贷款条件保持一致。支持银行</w:t>
      </w:r>
      <w:r>
        <w:rPr>
          <w:rFonts w:hint="eastAsia" w:ascii="仿宋_GB2312"/>
          <w:color w:val="auto"/>
          <w:sz w:val="32"/>
          <w:szCs w:val="32"/>
          <w:highlight w:val="none"/>
          <w:lang w:val="en-US" w:eastAsia="zh-CN"/>
        </w:rPr>
        <w:t>业</w:t>
      </w:r>
      <w:r>
        <w:rPr>
          <w:rFonts w:hint="eastAsia" w:ascii="仿宋_GB2312" w:eastAsia="仿宋_GB2312"/>
          <w:color w:val="auto"/>
          <w:sz w:val="32"/>
          <w:szCs w:val="32"/>
          <w:highlight w:val="none"/>
        </w:rPr>
        <w:t>金融机构按照市场化、法治化原则，对民营建筑业企业的优质项目开展实质性风险审查，通过贷款、项目保函等方式，对符合条件的项目予以支持。全面推动中小企业商业价值信用贷款改革，加大对民营建筑业企业支持力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依托湖北省智能建造</w:t>
      </w:r>
      <w:r>
        <w:rPr>
          <w:rFonts w:hint="eastAsia" w:ascii="仿宋_GB2312"/>
          <w:color w:val="auto"/>
          <w:sz w:val="32"/>
          <w:szCs w:val="32"/>
          <w:highlight w:val="none"/>
          <w:lang w:eastAsia="zh-CN"/>
        </w:rPr>
        <w:t>产业互联网</w:t>
      </w:r>
      <w:r>
        <w:rPr>
          <w:rFonts w:hint="eastAsia" w:ascii="仿宋_GB2312" w:eastAsia="仿宋_GB2312"/>
          <w:color w:val="auto"/>
          <w:sz w:val="32"/>
          <w:szCs w:val="32"/>
          <w:highlight w:val="none"/>
        </w:rPr>
        <w:t>平台，加大与金融机构合作，提供供应链金融服务，支持民营建筑业企业通过应收账款质押、供应链票据等方式融资，拓宽融资渠道。鼓励核心企业通过</w:t>
      </w:r>
      <w:r>
        <w:rPr>
          <w:rFonts w:hint="eastAsia" w:ascii="仿宋_GB2312"/>
          <w:color w:val="auto"/>
          <w:sz w:val="32"/>
          <w:szCs w:val="32"/>
          <w:highlight w:val="none"/>
          <w:lang w:val="en-US" w:eastAsia="zh-CN"/>
        </w:rPr>
        <w:t>供应链</w:t>
      </w:r>
      <w:r>
        <w:rPr>
          <w:rFonts w:hint="eastAsia" w:ascii="仿宋_GB2312" w:eastAsia="仿宋_GB2312"/>
          <w:color w:val="auto"/>
          <w:sz w:val="32"/>
          <w:szCs w:val="32"/>
          <w:highlight w:val="none"/>
        </w:rPr>
        <w:t>金融帮助上下游民营建筑业企业融资。</w:t>
      </w:r>
      <w:r>
        <w:rPr>
          <w:rFonts w:hint="eastAsia" w:ascii="楷体_GB2312" w:hAnsi="楷体_GB2312" w:eastAsia="楷体_GB2312" w:cs="楷体_GB2312"/>
          <w:color w:val="auto"/>
          <w:sz w:val="32"/>
          <w:szCs w:val="32"/>
          <w:highlight w:val="none"/>
        </w:rPr>
        <w:t>（责任单位：省住建厅、省经信厅、省地方金融管理局、人行湖北省分行、湖北金融监管局）</w:t>
      </w:r>
    </w:p>
    <w:p w14:paraId="6BB0F2E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eastAsia="仿宋_GB2312"/>
          <w:color w:val="auto"/>
          <w:sz w:val="32"/>
          <w:szCs w:val="32"/>
          <w:highlight w:val="none"/>
        </w:rPr>
      </w:pPr>
      <w:r>
        <w:rPr>
          <w:rFonts w:hint="eastAsia" w:ascii="黑体" w:hAnsi="黑体" w:eastAsia="黑体"/>
          <w:color w:val="auto"/>
          <w:sz w:val="32"/>
          <w:szCs w:val="32"/>
          <w:highlight w:val="none"/>
          <w:lang w:eastAsia="zh-CN"/>
        </w:rPr>
        <w:t>六</w:t>
      </w:r>
      <w:r>
        <w:rPr>
          <w:rFonts w:hint="eastAsia" w:ascii="黑体" w:hAnsi="黑体" w:eastAsia="黑体"/>
          <w:color w:val="auto"/>
          <w:sz w:val="32"/>
          <w:szCs w:val="32"/>
          <w:highlight w:val="none"/>
        </w:rPr>
        <w:t>、支持绿色智能转型。</w:t>
      </w:r>
      <w:r>
        <w:rPr>
          <w:rFonts w:hint="eastAsia" w:ascii="仿宋_GB2312" w:eastAsia="仿宋_GB2312"/>
          <w:color w:val="auto"/>
          <w:sz w:val="32"/>
          <w:szCs w:val="32"/>
          <w:highlight w:val="none"/>
        </w:rPr>
        <w:t>完善工程建设领域评奖评优等标准，激励民营建筑业企业应用BIM技术和智能建造装备，提升工程质量品质，在智能建造试点企业、试点项目和“楚天杯”等工程奖项评选活动中，民营建筑业企业入围比例原则上不低于40%。支持民营建筑业企业申报高新技术和</w:t>
      </w:r>
      <w:r>
        <w:rPr>
          <w:rFonts w:hint="eastAsia" w:ascii="仿宋_GB2312"/>
          <w:color w:val="auto"/>
          <w:sz w:val="32"/>
          <w:szCs w:val="32"/>
          <w:highlight w:val="none"/>
          <w:lang w:eastAsia="zh-CN"/>
        </w:rPr>
        <w:t>“</w:t>
      </w:r>
      <w:r>
        <w:rPr>
          <w:rFonts w:hint="eastAsia" w:ascii="仿宋_GB2312" w:eastAsia="仿宋_GB2312"/>
          <w:color w:val="auto"/>
          <w:sz w:val="32"/>
          <w:szCs w:val="32"/>
          <w:highlight w:val="none"/>
        </w:rPr>
        <w:t>专精特新</w:t>
      </w:r>
      <w:r>
        <w:rPr>
          <w:rFonts w:hint="eastAsia" w:ascii="仿宋_GB2312"/>
          <w:color w:val="auto"/>
          <w:sz w:val="32"/>
          <w:szCs w:val="32"/>
          <w:highlight w:val="none"/>
          <w:lang w:eastAsia="zh-CN"/>
        </w:rPr>
        <w:t>”</w:t>
      </w:r>
      <w:r>
        <w:rPr>
          <w:rFonts w:hint="eastAsia" w:ascii="仿宋_GB2312" w:eastAsia="仿宋_GB2312"/>
          <w:color w:val="auto"/>
          <w:sz w:val="32"/>
          <w:szCs w:val="32"/>
          <w:highlight w:val="none"/>
        </w:rPr>
        <w:t>称号，享受相关优惠政策。搭建在鄂央企与民营建筑业企业交流合作平台，推动民营企业“借船出海”，参与省外、境外市场</w:t>
      </w:r>
      <w:r>
        <w:rPr>
          <w:rFonts w:hint="eastAsia" w:ascii="仿宋_GB2312" w:eastAsia="仿宋_GB2312"/>
          <w:color w:val="auto"/>
          <w:sz w:val="32"/>
          <w:szCs w:val="32"/>
          <w:highlight w:val="none"/>
          <w:lang w:eastAsia="zh-CN"/>
        </w:rPr>
        <w:t>。</w:t>
      </w:r>
      <w:r>
        <w:rPr>
          <w:rFonts w:hint="eastAsia" w:ascii="楷体_GB2312" w:hAnsi="楷体_GB2312" w:eastAsia="楷体_GB2312" w:cs="楷体_GB2312"/>
          <w:color w:val="auto"/>
          <w:sz w:val="32"/>
          <w:szCs w:val="32"/>
          <w:highlight w:val="none"/>
        </w:rPr>
        <w:t>（责任单位：省住建厅、省交通运输厅、省水利厅、省科技厅、省经信厅、省商务厅）</w:t>
      </w:r>
    </w:p>
    <w:p w14:paraId="1C9E4D9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楷体_GB2312" w:eastAsia="楷体_GB2312"/>
          <w:color w:val="auto"/>
          <w:sz w:val="32"/>
          <w:szCs w:val="32"/>
          <w:highlight w:val="none"/>
        </w:rPr>
      </w:pPr>
      <w:r>
        <w:rPr>
          <w:rFonts w:hint="eastAsia" w:ascii="黑体" w:hAnsi="黑体" w:eastAsia="黑体"/>
          <w:color w:val="auto"/>
          <w:sz w:val="32"/>
          <w:szCs w:val="32"/>
          <w:highlight w:val="none"/>
          <w:lang w:eastAsia="zh-CN"/>
        </w:rPr>
        <w:t>七</w:t>
      </w:r>
      <w:r>
        <w:rPr>
          <w:rFonts w:hint="eastAsia" w:ascii="黑体" w:hAnsi="黑体" w:eastAsia="黑体"/>
          <w:color w:val="auto"/>
          <w:sz w:val="32"/>
          <w:szCs w:val="32"/>
          <w:highlight w:val="none"/>
        </w:rPr>
        <w:t>、加强企业人才培养。</w:t>
      </w:r>
      <w:r>
        <w:rPr>
          <w:rFonts w:hint="eastAsia" w:ascii="仿宋_GB2312" w:eastAsia="仿宋_GB2312"/>
          <w:color w:val="auto"/>
          <w:sz w:val="32"/>
          <w:szCs w:val="32"/>
          <w:highlight w:val="none"/>
        </w:rPr>
        <w:t>支持民营建筑业企业人才申报国家、省级人才计划，享受相关待遇。各地区工程建设领域专家库要遴选和吸纳优秀民营建筑业企业人才进入，原则上占比不低于40%。符合高层次人才职称评审“直通车”及专精特新中小企业职称申</w:t>
      </w:r>
      <w:bookmarkStart w:id="4" w:name="_GoBack"/>
      <w:bookmarkEnd w:id="4"/>
      <w:r>
        <w:rPr>
          <w:rFonts w:hint="eastAsia" w:ascii="仿宋_GB2312" w:eastAsia="仿宋_GB2312"/>
          <w:color w:val="auto"/>
          <w:sz w:val="32"/>
          <w:szCs w:val="32"/>
          <w:highlight w:val="none"/>
        </w:rPr>
        <w:t>报“举荐制”等政策的民营建筑业企业专业技术人才，可按有关规定直接申报高级职称。支持符合条件的民营建筑业企业建立产业工人培训基地，自主开展职业技能等级认定，培育自有骨干工人队伍。</w:t>
      </w:r>
      <w:r>
        <w:rPr>
          <w:rFonts w:hint="eastAsia" w:ascii="楷体_GB2312" w:hAnsi="楷体_GB2312" w:eastAsia="楷体_GB2312" w:cs="楷体_GB2312"/>
          <w:color w:val="auto"/>
          <w:sz w:val="32"/>
          <w:szCs w:val="32"/>
          <w:highlight w:val="none"/>
        </w:rPr>
        <w:t>（责任单位：省人社厅、省住建厅、省交通运输厅、省水利厅）</w:t>
      </w:r>
    </w:p>
    <w:p w14:paraId="39989F2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楷体_GB2312" w:eastAsia="楷体_GB2312"/>
          <w:color w:val="auto"/>
          <w:sz w:val="32"/>
          <w:szCs w:val="32"/>
          <w:highlight w:val="none"/>
        </w:rPr>
      </w:pPr>
      <w:r>
        <w:rPr>
          <w:rFonts w:hint="eastAsia" w:ascii="黑体" w:hAnsi="黑体" w:eastAsia="黑体"/>
          <w:color w:val="auto"/>
          <w:sz w:val="32"/>
          <w:szCs w:val="32"/>
          <w:highlight w:val="none"/>
          <w:lang w:eastAsia="zh-CN"/>
        </w:rPr>
        <w:t>八</w:t>
      </w:r>
      <w:r>
        <w:rPr>
          <w:rFonts w:hint="eastAsia" w:ascii="黑体" w:hAnsi="黑体" w:eastAsia="黑体"/>
          <w:color w:val="auto"/>
          <w:sz w:val="32"/>
          <w:szCs w:val="32"/>
          <w:highlight w:val="none"/>
        </w:rPr>
        <w:t>、营造良好法治环境。</w:t>
      </w:r>
      <w:r>
        <w:rPr>
          <w:rFonts w:hint="eastAsia" w:ascii="仿宋_GB2312" w:eastAsia="仿宋_GB2312"/>
          <w:color w:val="auto"/>
          <w:sz w:val="32"/>
          <w:szCs w:val="32"/>
          <w:highlight w:val="none"/>
        </w:rPr>
        <w:t>着力规范涉企执法，杜绝简单化“一刀切”，严肃查处侵害民营建筑业企业合法权益的行为。严格区分经济纠纷与违法犯罪，对涉及民营建筑业企业的案件审慎采取强制措施，严禁超权限、超范围、超标的、超时限查封。完善信用修复制度，对完成修复的民营建筑业企业，及时移出失信名单</w:t>
      </w:r>
      <w:r>
        <w:rPr>
          <w:rFonts w:hint="eastAsia" w:ascii="仿宋_GB2312"/>
          <w:color w:val="auto"/>
          <w:sz w:val="32"/>
          <w:szCs w:val="32"/>
          <w:highlight w:val="none"/>
          <w:lang w:eastAsia="zh-CN"/>
        </w:rPr>
        <w:t>，不再</w:t>
      </w:r>
      <w:r>
        <w:rPr>
          <w:rFonts w:hint="eastAsia" w:ascii="仿宋_GB2312" w:eastAsia="仿宋_GB2312"/>
          <w:color w:val="auto"/>
          <w:sz w:val="32"/>
          <w:szCs w:val="32"/>
          <w:highlight w:val="none"/>
        </w:rPr>
        <w:t>公示其失信信息，依法依规解除相关失信惩戒措施</w:t>
      </w:r>
      <w:r>
        <w:rPr>
          <w:rFonts w:hint="eastAsia" w:ascii="仿宋_GB2312"/>
          <w:color w:val="auto"/>
          <w:sz w:val="32"/>
          <w:szCs w:val="32"/>
          <w:highlight w:val="none"/>
          <w:lang w:eastAsia="zh-CN"/>
        </w:rPr>
        <w:t>。任何单位不得使用</w:t>
      </w:r>
      <w:r>
        <w:rPr>
          <w:rFonts w:hint="eastAsia" w:ascii="仿宋_GB2312"/>
          <w:color w:val="auto"/>
          <w:sz w:val="32"/>
          <w:szCs w:val="32"/>
          <w:highlight w:val="none"/>
          <w:lang w:val="en-US" w:eastAsia="zh-CN"/>
        </w:rPr>
        <w:t>已失</w:t>
      </w:r>
      <w:r>
        <w:rPr>
          <w:rFonts w:hint="eastAsia" w:ascii="仿宋_GB2312"/>
          <w:color w:val="auto"/>
          <w:sz w:val="32"/>
          <w:szCs w:val="32"/>
          <w:highlight w:val="none"/>
          <w:lang w:eastAsia="zh-CN"/>
        </w:rPr>
        <w:t>效的</w:t>
      </w:r>
      <w:r>
        <w:rPr>
          <w:rFonts w:hint="eastAsia" w:ascii="仿宋_GB2312"/>
          <w:color w:val="auto"/>
          <w:sz w:val="32"/>
          <w:szCs w:val="32"/>
          <w:highlight w:val="none"/>
          <w:lang w:val="en-US" w:eastAsia="zh-CN"/>
        </w:rPr>
        <w:t>失信</w:t>
      </w:r>
      <w:r>
        <w:rPr>
          <w:rFonts w:hint="eastAsia" w:ascii="仿宋_GB2312"/>
          <w:color w:val="auto"/>
          <w:sz w:val="32"/>
          <w:szCs w:val="32"/>
          <w:highlight w:val="none"/>
          <w:lang w:eastAsia="zh-CN"/>
        </w:rPr>
        <w:t>信息</w:t>
      </w:r>
      <w:r>
        <w:rPr>
          <w:rFonts w:hint="eastAsia" w:ascii="仿宋_GB2312"/>
          <w:color w:val="auto"/>
          <w:sz w:val="32"/>
          <w:szCs w:val="32"/>
          <w:highlight w:val="none"/>
          <w:lang w:val="en-US" w:eastAsia="zh-CN"/>
        </w:rPr>
        <w:t>对企业</w:t>
      </w:r>
      <w:r>
        <w:rPr>
          <w:rFonts w:hint="eastAsia" w:ascii="仿宋_GB2312"/>
          <w:color w:val="auto"/>
          <w:sz w:val="32"/>
          <w:szCs w:val="32"/>
          <w:highlight w:val="none"/>
          <w:lang w:eastAsia="zh-CN"/>
        </w:rPr>
        <w:t>实施信用</w:t>
      </w:r>
      <w:r>
        <w:rPr>
          <w:rFonts w:hint="eastAsia" w:ascii="仿宋_GB2312"/>
          <w:color w:val="auto"/>
          <w:sz w:val="32"/>
          <w:szCs w:val="32"/>
          <w:highlight w:val="none"/>
          <w:lang w:val="en-US" w:eastAsia="zh-CN"/>
        </w:rPr>
        <w:t>惩戒</w:t>
      </w:r>
      <w:r>
        <w:rPr>
          <w:rFonts w:hint="eastAsia" w:ascii="仿宋_GB2312" w:eastAsia="仿宋_GB2312"/>
          <w:color w:val="auto"/>
          <w:sz w:val="32"/>
          <w:szCs w:val="32"/>
          <w:highlight w:val="none"/>
        </w:rPr>
        <w:t>。</w:t>
      </w:r>
      <w:r>
        <w:rPr>
          <w:rFonts w:hint="eastAsia" w:ascii="楷体_GB2312" w:hAnsi="楷体_GB2312" w:eastAsia="楷体_GB2312" w:cs="楷体_GB2312"/>
          <w:color w:val="auto"/>
          <w:sz w:val="32"/>
          <w:szCs w:val="32"/>
          <w:highlight w:val="none"/>
        </w:rPr>
        <w:t>（责任单位：省法院</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省公安厅、省发改委、省住建厅、省交通运输厅、省水利厅）</w:t>
      </w:r>
      <w:r>
        <w:rPr>
          <w:rFonts w:hint="eastAsia" w:ascii="仿宋_GB2312" w:eastAsia="仿宋_GB2312"/>
          <w:color w:val="auto"/>
          <w:sz w:val="32"/>
          <w:szCs w:val="32"/>
          <w:highlight w:val="none"/>
        </w:rPr>
        <w:t>。</w:t>
      </w:r>
    </w:p>
    <w:p w14:paraId="66BC2EE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eastAsia="仿宋_GB2312"/>
          <w:color w:val="auto"/>
          <w:sz w:val="32"/>
          <w:szCs w:val="32"/>
          <w:highlight w:val="none"/>
        </w:rPr>
      </w:pPr>
      <w:r>
        <w:rPr>
          <w:rFonts w:hint="eastAsia" w:ascii="黑体" w:hAnsi="黑体" w:eastAsia="黑体"/>
          <w:color w:val="auto"/>
          <w:sz w:val="32"/>
          <w:szCs w:val="32"/>
          <w:highlight w:val="none"/>
          <w:lang w:eastAsia="zh-CN"/>
        </w:rPr>
        <w:t>九</w:t>
      </w:r>
      <w:r>
        <w:rPr>
          <w:rFonts w:hint="eastAsia" w:ascii="黑体" w:hAnsi="黑体" w:eastAsia="黑体"/>
          <w:color w:val="auto"/>
          <w:sz w:val="32"/>
          <w:szCs w:val="32"/>
          <w:highlight w:val="none"/>
        </w:rPr>
        <w:t>、减轻企业资金压力。</w:t>
      </w:r>
      <w:r>
        <w:rPr>
          <w:rFonts w:hint="eastAsia" w:ascii="仿宋_GB2312" w:eastAsia="仿宋_GB2312"/>
          <w:color w:val="auto"/>
          <w:sz w:val="32"/>
          <w:szCs w:val="32"/>
          <w:highlight w:val="none"/>
        </w:rPr>
        <w:t>除投标保证金、履约保证金、工程质量保证金、农民工工资保证金外，严禁建设单位、总包单位以任何名义向民营建筑业企业收取“门槛费”、“诚意金”等费用。加快保证金返还进度，逾期未返还的应当支付违约金。全面推行保函替代现金保证金，银行、保险机构应当根据民营建筑业企业信用状况，主动确定工程建设领域保函的</w:t>
      </w:r>
      <w:r>
        <w:rPr>
          <w:rFonts w:hint="eastAsia" w:ascii="仿宋_GB2312" w:eastAsia="仿宋_GB2312"/>
          <w:color w:val="auto"/>
          <w:sz w:val="32"/>
          <w:szCs w:val="32"/>
          <w:highlight w:val="none"/>
          <w:lang w:eastAsia="zh-CN"/>
        </w:rPr>
        <w:t>收费标准</w:t>
      </w:r>
      <w:r>
        <w:rPr>
          <w:rFonts w:hint="eastAsia" w:ascii="仿宋_GB2312" w:eastAsia="仿宋_GB2312"/>
          <w:color w:val="auto"/>
          <w:sz w:val="32"/>
          <w:szCs w:val="32"/>
          <w:highlight w:val="none"/>
        </w:rPr>
        <w:t>，接受相关部门监督，进一步缓解企业资金压力。</w:t>
      </w:r>
      <w:r>
        <w:rPr>
          <w:rFonts w:hint="eastAsia" w:ascii="楷体_GB2312" w:hAnsi="楷体_GB2312" w:eastAsia="楷体_GB2312" w:cs="楷体_GB2312"/>
          <w:color w:val="auto"/>
          <w:sz w:val="32"/>
          <w:szCs w:val="32"/>
          <w:highlight w:val="none"/>
        </w:rPr>
        <w:t>（责任单位：省住建厅、省交通运输厅、省水利厅、省人社厅、省地方金融管理局、人行湖北省分行、湖北金融监管局）</w:t>
      </w:r>
    </w:p>
    <w:p w14:paraId="440E591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各地要加大协同推进力度，将民营建筑业企业统一纳入各相关领域政策支持范围，加强文件宣贯、政策兑现，为民营建筑业企业持续健康发展保驾护航。</w:t>
      </w:r>
    </w:p>
    <w:p w14:paraId="7EDFDFEC">
      <w:pPr>
        <w:rPr>
          <w:color w:val="auto"/>
          <w:highlight w:val="none"/>
        </w:rPr>
      </w:pPr>
    </w:p>
    <w:sectPr>
      <w:footerReference r:id="rId3" w:type="default"/>
      <w:pgSz w:w="11906" w:h="16838"/>
      <w:pgMar w:top="2098" w:right="1474" w:bottom="1984" w:left="1587" w:header="851" w:footer="1587"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A454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DC24E">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CDC24E">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MzE1OTc2ZTUwOWYzNDA2OTFmMThmZDgyZGI1YmUifQ=="/>
  </w:docVars>
  <w:rsids>
    <w:rsidRoot w:val="5E977924"/>
    <w:rsid w:val="005E5293"/>
    <w:rsid w:val="009F242B"/>
    <w:rsid w:val="00AD5B3D"/>
    <w:rsid w:val="00B772D3"/>
    <w:rsid w:val="00EA5778"/>
    <w:rsid w:val="07F55276"/>
    <w:rsid w:val="0D5154EF"/>
    <w:rsid w:val="0DFA4697"/>
    <w:rsid w:val="0F2D5874"/>
    <w:rsid w:val="188A2B58"/>
    <w:rsid w:val="1B0D0E36"/>
    <w:rsid w:val="1C367567"/>
    <w:rsid w:val="1DB86168"/>
    <w:rsid w:val="1EA75524"/>
    <w:rsid w:val="1EE933C2"/>
    <w:rsid w:val="1F236109"/>
    <w:rsid w:val="29B06135"/>
    <w:rsid w:val="2C4017BE"/>
    <w:rsid w:val="2D38037E"/>
    <w:rsid w:val="320B3085"/>
    <w:rsid w:val="32F56799"/>
    <w:rsid w:val="343F5485"/>
    <w:rsid w:val="368B07C3"/>
    <w:rsid w:val="39D10894"/>
    <w:rsid w:val="3E9A017E"/>
    <w:rsid w:val="409A0980"/>
    <w:rsid w:val="409D7418"/>
    <w:rsid w:val="46F17558"/>
    <w:rsid w:val="49383CEB"/>
    <w:rsid w:val="4A2658A1"/>
    <w:rsid w:val="4C3C6D63"/>
    <w:rsid w:val="4E2F3F48"/>
    <w:rsid w:val="5265354F"/>
    <w:rsid w:val="54F14A20"/>
    <w:rsid w:val="58F50704"/>
    <w:rsid w:val="5CC12909"/>
    <w:rsid w:val="5E977924"/>
    <w:rsid w:val="64EE55D5"/>
    <w:rsid w:val="6F7D5B0F"/>
    <w:rsid w:val="7353286B"/>
    <w:rsid w:val="75390E65"/>
    <w:rsid w:val="7AF14C75"/>
    <w:rsid w:val="7EA8074C"/>
    <w:rsid w:val="7FDBC821"/>
    <w:rsid w:val="F7FCFA3C"/>
    <w:rsid w:val="FED349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600" w:lineRule="exact"/>
      <w:ind w:firstLine="880" w:firstLineChars="200"/>
      <w:outlineLvl w:val="1"/>
    </w:pPr>
    <w:rPr>
      <w:rFonts w:eastAsia="黑体" w:asciiTheme="minorAscii" w:hAnsiTheme="minorAscii" w:cstheme="minorBidi"/>
      <w:sz w:val="32"/>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szCs w:val="20"/>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20"/>
    </w:rPr>
  </w:style>
  <w:style w:type="paragraph" w:styleId="5">
    <w:name w:val="Normal (Web)"/>
    <w:basedOn w:val="1"/>
    <w:qFormat/>
    <w:uiPriority w:val="0"/>
    <w:pPr>
      <w:spacing w:beforeAutospacing="1" w:after="160" w:afterAutospacing="1" w:line="278" w:lineRule="auto"/>
      <w:jc w:val="left"/>
    </w:pPr>
    <w:rPr>
      <w:rFonts w:cs="Times New Roman" w:asciiTheme="minorHAnsi" w:hAnsiTheme="minorHAnsi" w:eastAsiaTheme="minorEastAsia"/>
      <w:kern w:val="0"/>
      <w:sz w:val="24"/>
    </w:rPr>
  </w:style>
  <w:style w:type="character" w:styleId="8">
    <w:name w:val="page number"/>
    <w:basedOn w:val="7"/>
    <w:qFormat/>
    <w:uiPriority w:val="0"/>
  </w:style>
  <w:style w:type="character" w:customStyle="1" w:styleId="9">
    <w:name w:val="页眉 字符"/>
    <w:basedOn w:val="7"/>
    <w:link w:val="4"/>
    <w:qFormat/>
    <w:uiPriority w:val="0"/>
    <w:rPr>
      <w:rFonts w:ascii="Calibri" w:hAnsi="Calibri" w:eastAsia="宋体" w:cs="Times New Roman"/>
      <w:sz w:val="18"/>
      <w:szCs w:val="20"/>
    </w:rPr>
  </w:style>
  <w:style w:type="character" w:customStyle="1" w:styleId="10">
    <w:name w:val="页脚 字符"/>
    <w:basedOn w:val="7"/>
    <w:link w:val="3"/>
    <w:qFormat/>
    <w:uiPriority w:val="99"/>
    <w:rPr>
      <w:rFonts w:ascii="Calibri" w:hAnsi="Calibri" w:eastAsia="宋体" w:cs="Times New Roman"/>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5</Pages>
  <Words>2446</Words>
  <Characters>2455</Characters>
  <Lines>18</Lines>
  <Paragraphs>5</Paragraphs>
  <TotalTime>19</TotalTime>
  <ScaleCrop>false</ScaleCrop>
  <LinksUpToDate>false</LinksUpToDate>
  <CharactersWithSpaces>2455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2025-09-29T09:09:00Z</dcterms:created>
  <dc:creator>d</dc:creator>
  <cp:lastModifiedBy>Kathy 敏</cp:lastModifiedBy>
  <cp:lastPrinted>2026-01-04T13:53:00Z</cp:lastPrinted>
  <dcterms:modified xsi:type="dcterms:W3CDTF">2026-01-07T00:48:39Z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5DE6EF64B33D489E88D8B7081B7B0CC5</vt:lpwstr>
  </property>
  <property fmtid="{D5CDD505-2E9C-101B-9397-08002B2CF9AE}" pid="4" name="KSOTemplateDocerSaveRecord">
    <vt:lpwstr>eyJoZGlkIjoiMjk2ZGZmMzI3ZDEyZTNmYTRlYzFlYmMwODMzNWEyNjciLCJ1c2VySWQiOiI3MTQ3Nzc1MjIifQ==</vt:lpwstr>
  </property>
</Properties>
</file>